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E5D7" w14:textId="77777777" w:rsidR="00820A38" w:rsidRPr="004221E3" w:rsidRDefault="00820A38" w:rsidP="00DB2FE4">
      <w:pPr>
        <w:pStyle w:val="berschrift1"/>
        <w:spacing w:line="276" w:lineRule="auto"/>
        <w:jc w:val="center"/>
        <w:rPr>
          <w:rFonts w:ascii="Garamond" w:hAnsi="Garamond"/>
        </w:rPr>
      </w:pPr>
      <w:bookmarkStart w:id="0" w:name="_Toc233001127"/>
      <w:r w:rsidRPr="004221E3">
        <w:rPr>
          <w:rFonts w:ascii="Garamond" w:hAnsi="Garamond"/>
        </w:rPr>
        <w:t>Vorwort</w:t>
      </w:r>
      <w:bookmarkEnd w:id="0"/>
    </w:p>
    <w:p w14:paraId="7D6D26D8" w14:textId="77777777" w:rsidR="00820A38" w:rsidRPr="004221E3" w:rsidRDefault="00820A38" w:rsidP="00DB2FE4">
      <w:pPr>
        <w:spacing w:line="276" w:lineRule="auto"/>
        <w:rPr>
          <w:rFonts w:ascii="Garamond" w:hAnsi="Garamond"/>
        </w:rPr>
      </w:pPr>
    </w:p>
    <w:p w14:paraId="5F782015" w14:textId="77777777" w:rsidR="00820A38" w:rsidRPr="0097094B" w:rsidRDefault="00820A38" w:rsidP="00DB2FE4">
      <w:pPr>
        <w:spacing w:line="276" w:lineRule="auto"/>
        <w:rPr>
          <w:rFonts w:ascii="Garamond" w:hAnsi="Garamond"/>
        </w:rPr>
      </w:pPr>
      <w:r w:rsidRPr="0097094B">
        <w:rPr>
          <w:rFonts w:ascii="Garamond" w:hAnsi="Garamond"/>
        </w:rPr>
        <w:t>Mit den Jahren verändert sich der Blick auf die Welt. Wut verliert an Bedeutung, weil sie zwar Bewegung erzeugt, aber keine Orientierung gibt. Empörung ist laut, doch sie erklärt nichts. Erst wenn sie abklingt, entsteht eine Phase, in der Beobachtung möglich wird — ein Abschnitt, in dem Reaktionen nicht mehr reflexhaft greifen und ihren Platz im Geschehen finden.</w:t>
      </w:r>
    </w:p>
    <w:p w14:paraId="1E73C0E3" w14:textId="77777777" w:rsidR="00820A38" w:rsidRPr="0097094B" w:rsidRDefault="00820A38" w:rsidP="00DB2FE4">
      <w:pPr>
        <w:spacing w:line="276" w:lineRule="auto"/>
        <w:rPr>
          <w:rFonts w:ascii="Garamond" w:hAnsi="Garamond"/>
        </w:rPr>
      </w:pPr>
      <w:r w:rsidRPr="0097094B">
        <w:rPr>
          <w:rFonts w:ascii="Garamond" w:hAnsi="Garamond"/>
        </w:rPr>
        <w:t>In dieser Situation stellt sich eine Frage, die nicht aus Zorn entsteht. Sie folgt einem nüchternen Blick auf unsere Gegenwart:</w:t>
      </w:r>
    </w:p>
    <w:p w14:paraId="59BB9696" w14:textId="77777777" w:rsidR="00820A38" w:rsidRPr="004221E3" w:rsidRDefault="00820A38" w:rsidP="00DB2FE4">
      <w:pPr>
        <w:spacing w:line="276" w:lineRule="auto"/>
        <w:rPr>
          <w:rFonts w:ascii="Garamond" w:hAnsi="Garamond"/>
        </w:rPr>
      </w:pPr>
      <w:r w:rsidRPr="004221E3">
        <w:rPr>
          <w:rFonts w:ascii="Garamond" w:hAnsi="Garamond"/>
        </w:rPr>
        <w:t>Sind wir als Gesellschaft noch in der Lage, vielen Menschen gerecht zu werden? Oder stehen wir an einem Punkt, an dem ein vertrautes Modell ausläuft und etwas Neues entstehen müsste, das von vielen getragen werden kann?</w:t>
      </w:r>
    </w:p>
    <w:p w14:paraId="753B475E" w14:textId="4DA05883" w:rsidR="00820A38" w:rsidRPr="004221E3" w:rsidRDefault="00820A38" w:rsidP="00DB2FE4">
      <w:pPr>
        <w:spacing w:line="276" w:lineRule="auto"/>
        <w:rPr>
          <w:rFonts w:ascii="Garamond" w:hAnsi="Garamond"/>
        </w:rPr>
      </w:pPr>
      <w:r w:rsidRPr="004221E3">
        <w:rPr>
          <w:rFonts w:ascii="Garamond" w:hAnsi="Garamond"/>
        </w:rPr>
        <w:t>Wir leben in einer Zeit, in der Entwicklungen gleichzeitig und ohne Pause aufeinanderprallen: Migration in großem Umfang, kulturelle Reibungen, Gewaltphänomene, mediale Überhitzung, moralische Reflexe, ein schwindendes Vertrauen in Institutionen. Es wirkt, als würde die Gesellschaft an mehreren Stellen dünn werden – vielleicht noch nicht reißen, aber dünn genug, dass ein Gefühl hindurchdringt, das schwer zu benennen ist: eine Mischung aus Unsicherheit, Müdigkeit und der Ahnung, dass die alten Antworten nicht mehr tragen.</w:t>
      </w:r>
    </w:p>
    <w:p w14:paraId="7E2DDFD9" w14:textId="77777777" w:rsidR="00820A38" w:rsidRPr="004221E3" w:rsidRDefault="00820A38" w:rsidP="00DB2FE4">
      <w:pPr>
        <w:spacing w:line="276" w:lineRule="auto"/>
        <w:rPr>
          <w:rFonts w:ascii="Garamond" w:hAnsi="Garamond"/>
        </w:rPr>
      </w:pPr>
      <w:r w:rsidRPr="004221E3">
        <w:rPr>
          <w:rFonts w:ascii="Garamond" w:hAnsi="Garamond"/>
        </w:rPr>
        <w:t>Dieses Buch versucht nicht, diese Entwicklungen moralisch zu bewerten. Es untersucht die Strukturen, die politische Realität hervorbringen – die Logiken, die unter der Oberfläche wirken und Deutung formen. Die Frage nach Schuld führt nicht weiter. Sie ist ein Reflex. Entscheidend ist, was tatsächlich geschieht – und ob wir die Fähigkeit besitzen, es ohne Angst zu betrachten. Nur wer die Realität aushält, kann entscheiden, wie Zukunft aussehen soll.</w:t>
      </w:r>
    </w:p>
    <w:p w14:paraId="0DE288AC" w14:textId="77777777" w:rsidR="00820A38" w:rsidRPr="004221E3" w:rsidRDefault="00820A38" w:rsidP="00DB2FE4">
      <w:pPr>
        <w:spacing w:line="276" w:lineRule="auto"/>
        <w:rPr>
          <w:rFonts w:ascii="Garamond" w:hAnsi="Garamond"/>
        </w:rPr>
      </w:pPr>
      <w:r w:rsidRPr="004221E3">
        <w:rPr>
          <w:rFonts w:ascii="Garamond" w:hAnsi="Garamond"/>
        </w:rPr>
        <w:t>Politische Konflikte lassen sich nicht in einfache Kategorien einteilen. Wer versucht, komplexe Entwicklungen in „gut“ und „böse“, „Opfer“ und „Täter“ oder „richtig“ und „falsch“ zu sortieren, erzeugt ein Bild, das emotional funktioniert, aber analytisch unbrauchbar ist. Die Realität politischer Prozesse ist vielschichtig, widersprüchlich und von Interessen geprägt, die selten offen kommuniziert werden.</w:t>
      </w:r>
    </w:p>
    <w:p w14:paraId="46A1F810" w14:textId="77777777" w:rsidR="00820A38" w:rsidRPr="004221E3" w:rsidRDefault="00820A38" w:rsidP="00DB2FE4">
      <w:pPr>
        <w:spacing w:line="276" w:lineRule="auto"/>
        <w:rPr>
          <w:rFonts w:ascii="Garamond" w:hAnsi="Garamond"/>
        </w:rPr>
      </w:pPr>
      <w:r w:rsidRPr="004221E3">
        <w:rPr>
          <w:rFonts w:ascii="Garamond" w:hAnsi="Garamond"/>
        </w:rPr>
        <w:t>Neutralität im strengen Sinn ist kaum möglich. Jeder Mensch bringt Erfahrungen, Prägungen und Perspektiven mit. Doch es ist notwendig, sich dieser eigenen Perspektiven bewusst zu sein und sie nicht zum Maßstab der Analyse zu machen. Ziel dieses Buches ist es, Bedingungen zu schaffen, unter denen Leserinnen und Leser zu eigenen, reflektierten Schlussfolgerungen gelangen können — ohne Anspruch auf eine objektive Wahrheit.</w:t>
      </w:r>
    </w:p>
    <w:p w14:paraId="42914139" w14:textId="77777777" w:rsidR="00820A38" w:rsidRPr="004221E3" w:rsidRDefault="00820A38" w:rsidP="00DB2FE4">
      <w:pPr>
        <w:spacing w:line="276" w:lineRule="auto"/>
        <w:rPr>
          <w:rFonts w:ascii="Garamond" w:hAnsi="Garamond"/>
        </w:rPr>
      </w:pPr>
      <w:r w:rsidRPr="004221E3">
        <w:rPr>
          <w:rFonts w:ascii="Garamond" w:hAnsi="Garamond"/>
        </w:rPr>
        <w:t>Die folgenden Kapitel verwenden historische Beispiele, um Muster offenzulegen; eine abschließende Deutung ist dabei nicht beabsichtigt. Polemik ist in diesem Zusammenhang kontraproduktiv. Sie dient nicht der Aufklärung, sondern eher der Mobilisierung. Sie verschärft Fronten, vereinfacht Zusammenhänge und verschleiert die eigentlichen Mechanismen politischer Entscheidungen. Politische Reife wächst aus Einsicht. Siege spielen dafür kaum eine Rolle.</w:t>
      </w:r>
    </w:p>
    <w:p w14:paraId="597FF063" w14:textId="77777777" w:rsidR="00820A38" w:rsidRPr="004221E3" w:rsidRDefault="00820A38" w:rsidP="00DB2FE4">
      <w:pPr>
        <w:spacing w:line="276" w:lineRule="auto"/>
        <w:rPr>
          <w:rFonts w:ascii="Garamond" w:hAnsi="Garamond"/>
        </w:rPr>
      </w:pPr>
      <w:r w:rsidRPr="004221E3">
        <w:rPr>
          <w:rFonts w:ascii="Garamond" w:hAnsi="Garamond"/>
        </w:rPr>
        <w:t>Die Annäherung an gesicherte Erkenntnis liegt selten an den Rändern. Sie entsteht im Spannungsfeld unterschiedlicher Perspektiven, Interessen und Erfahrungen. Eine Diskussion, die diese Perspektive zulässt, braucht keine Gewalt, weder physisch noch sprachlich. Sie braucht Klarheit, Offenheit und die Bereitschaft, Ambivalenzen auszuhalten.</w:t>
      </w:r>
    </w:p>
    <w:p w14:paraId="1C35E726" w14:textId="77777777" w:rsidR="00820A38" w:rsidRPr="00B42818" w:rsidRDefault="00820A38" w:rsidP="00DB2FE4">
      <w:pPr>
        <w:spacing w:line="276" w:lineRule="auto"/>
        <w:rPr>
          <w:rFonts w:ascii="Garamond" w:eastAsia="Times New Roman" w:hAnsi="Garamond"/>
          <w:kern w:val="0"/>
          <w14:ligatures w14:val="none"/>
        </w:rPr>
      </w:pPr>
      <w:r w:rsidRPr="004221E3">
        <w:rPr>
          <w:rFonts w:ascii="Garamond" w:hAnsi="Garamond"/>
        </w:rPr>
        <w:t>Die historischen Beispiele zeigen, dass politische Konflikte selten durch Fakten allein bestimmt werden. Entscheidend ist, wie Ereignisse wahrgenommen, interpretiert und in kollektive Erzählungen eingebettet werden.</w:t>
      </w:r>
      <w:r w:rsidRPr="004221E3">
        <w:rPr>
          <w:rFonts w:ascii="Garamond" w:eastAsia="Times New Roman" w:hAnsi="Garamond" w:cs="Times New Roman"/>
          <w:b/>
          <w:bCs/>
          <w:kern w:val="0"/>
          <w14:ligatures w14:val="none"/>
        </w:rPr>
        <w:t xml:space="preserve"> </w:t>
      </w:r>
      <w:r w:rsidRPr="00B42818">
        <w:rPr>
          <w:rFonts w:ascii="Garamond" w:eastAsia="Times New Roman" w:hAnsi="Garamond"/>
          <w:kern w:val="0"/>
          <w14:ligatures w14:val="none"/>
        </w:rPr>
        <w:t>Dabei wirken Information und Desinformation über dieselben psychologischen Muster und formen Deutung auf vergleichbare Weise.</w:t>
      </w:r>
    </w:p>
    <w:p w14:paraId="5AF166D5" w14:textId="77777777" w:rsidR="00820A38" w:rsidRPr="004221E3" w:rsidRDefault="00820A38" w:rsidP="00DB2FE4">
      <w:pPr>
        <w:spacing w:line="276" w:lineRule="auto"/>
        <w:rPr>
          <w:rFonts w:ascii="Garamond" w:hAnsi="Garamond"/>
        </w:rPr>
      </w:pPr>
      <w:r w:rsidRPr="004221E3">
        <w:rPr>
          <w:rFonts w:ascii="Garamond" w:hAnsi="Garamond"/>
        </w:rPr>
        <w:t xml:space="preserve">Sie lösen Emotionen aus, verstärken Überzeugungen, formen Identitäten und schaffen Zugehörigkeit. </w:t>
      </w:r>
      <w:r w:rsidRPr="00B42818">
        <w:rPr>
          <w:rFonts w:ascii="Garamond" w:hAnsi="Garamond"/>
        </w:rPr>
        <w:t>Das menschliche Gehirn reagiert nicht ausschließlich auf die Unterscheidung zwischen wahr und falsch, sondern auch auf Vertrautheit, Bestätigung und Irritation.</w:t>
      </w:r>
    </w:p>
    <w:p w14:paraId="2EC10B8C" w14:textId="77777777" w:rsidR="00820A38" w:rsidRPr="004221E3" w:rsidRDefault="00820A38" w:rsidP="00DB2FE4">
      <w:pPr>
        <w:spacing w:line="276" w:lineRule="auto"/>
        <w:rPr>
          <w:rFonts w:ascii="Garamond" w:hAnsi="Garamond"/>
        </w:rPr>
      </w:pPr>
      <w:r w:rsidRPr="004221E3">
        <w:rPr>
          <w:rFonts w:ascii="Garamond" w:hAnsi="Garamond"/>
        </w:rPr>
        <w:t>Kognitive Dissonanz</w:t>
      </w:r>
      <w:r w:rsidRPr="004221E3">
        <w:rPr>
          <w:rStyle w:val="Funotenzeichen"/>
          <w:rFonts w:ascii="Garamond" w:hAnsi="Garamond"/>
        </w:rPr>
        <w:footnoteReference w:id="1"/>
      </w:r>
      <w:r w:rsidRPr="004221E3">
        <w:rPr>
          <w:rFonts w:ascii="Garamond" w:hAnsi="Garamond"/>
        </w:rPr>
        <w:t xml:space="preserve"> führt dazu, dass widersprüchliche Informationen abgewehrt werden. Der Bestätigungsfehler</w:t>
      </w:r>
      <w:r w:rsidRPr="004221E3">
        <w:rPr>
          <w:rStyle w:val="Funotenzeichen"/>
          <w:rFonts w:ascii="Garamond" w:hAnsi="Garamond"/>
        </w:rPr>
        <w:footnoteReference w:id="2"/>
      </w:r>
      <w:r w:rsidRPr="004221E3">
        <w:rPr>
          <w:rFonts w:ascii="Garamond" w:hAnsi="Garamond"/>
        </w:rPr>
        <w:t xml:space="preserve"> stabilisiert bestehende Weltbilder. Angst vereinfacht komplexe Situationen und macht Gesellschaften anfällig für polarisierende Erzählungen. Gruppendynamiken</w:t>
      </w:r>
      <w:r w:rsidRPr="004221E3">
        <w:rPr>
          <w:rStyle w:val="Funotenzeichen"/>
          <w:rFonts w:ascii="Garamond" w:hAnsi="Garamond"/>
        </w:rPr>
        <w:footnoteReference w:id="3"/>
      </w:r>
      <w:r w:rsidRPr="004221E3">
        <w:rPr>
          <w:rFonts w:ascii="Garamond" w:hAnsi="Garamond"/>
        </w:rPr>
        <w:t xml:space="preserve"> erzeugen Lager, die weniger durch Argumente als durch Identität zusammengehalten werden. Projektionen</w:t>
      </w:r>
      <w:r w:rsidRPr="004221E3">
        <w:rPr>
          <w:rStyle w:val="Funotenzeichen"/>
          <w:rFonts w:ascii="Garamond" w:hAnsi="Garamond"/>
        </w:rPr>
        <w:footnoteReference w:id="4"/>
      </w:r>
      <w:r w:rsidRPr="004221E3">
        <w:rPr>
          <w:rFonts w:ascii="Garamond" w:hAnsi="Garamond"/>
        </w:rPr>
        <w:t xml:space="preserve"> verwandeln Unsicherheiten in Feindbilder. Und Deutungshoheit wird zu einem Machtinstrument, das politische Entscheidungen prägt.</w:t>
      </w:r>
    </w:p>
    <w:p w14:paraId="3EE4D280" w14:textId="77777777" w:rsidR="00820A38" w:rsidRPr="004221E3" w:rsidRDefault="00820A38" w:rsidP="00DB2FE4">
      <w:pPr>
        <w:spacing w:line="276" w:lineRule="auto"/>
        <w:rPr>
          <w:rFonts w:ascii="Garamond" w:hAnsi="Garamond"/>
        </w:rPr>
      </w:pPr>
      <w:r w:rsidRPr="004221E3">
        <w:rPr>
          <w:rFonts w:ascii="Garamond" w:hAnsi="Garamond"/>
        </w:rPr>
        <w:t>Diese Mechanismen sind nicht neu. Sie finden sich in historischen Konflikten ebenso wie in aktuellen Debatten. Wer sie erkennt, versteht, warum bestimmte Muster immer wiederkehren. Philosophisch zeigt sich, dass gesicherte Erkenntnis in politischen Konflikten selten absolut ist. Sie entsteht im Spannungsfeld konkurrierender Perspektiven. Macht äußert sich nicht nur in militärischer oder ökonomischer Stärke, sondern in der Fähigkeit, die Realität zu definieren. Freiheit ist in solchen Situationen stets bedroht durch innere Muster wie Angst, moralische Überhöhung oder die Sehnsucht nach einfachen Antworten.</w:t>
      </w:r>
    </w:p>
    <w:p w14:paraId="01CD32EE" w14:textId="0DD76003" w:rsidR="00820A38" w:rsidRPr="004221E3" w:rsidRDefault="00820A38" w:rsidP="00DB2FE4">
      <w:pPr>
        <w:spacing w:line="276" w:lineRule="auto"/>
        <w:rPr>
          <w:rFonts w:ascii="Garamond" w:hAnsi="Garamond"/>
        </w:rPr>
      </w:pPr>
      <w:r w:rsidRPr="004221E3">
        <w:rPr>
          <w:rFonts w:ascii="Garamond" w:hAnsi="Garamond"/>
        </w:rPr>
        <w:t>Dieses Buch erhebt keinen Anspruch auf Deutungshoheit. Es will die Bedingungen sichtbar machen, unter denen politische Einschätzung entsteht – und damit einen Raum öffnen, in dem Leserinnen und Leser selbst zu Klarheit gelangen können. Die Annäherung an gesicherte Erkenntnis entsteht im Raum zwischen den Positionen – in einer Diskussion, die ohne Gewalt auskommt und die Komplexität der Realität ernst nimmt.</w:t>
      </w:r>
    </w:p>
    <w:p w14:paraId="382792CD" w14:textId="77777777" w:rsidR="00820A38" w:rsidRPr="00F65C0B" w:rsidRDefault="00820A38" w:rsidP="00DB2FE4">
      <w:pPr>
        <w:spacing w:line="276" w:lineRule="auto"/>
        <w:rPr>
          <w:rFonts w:ascii="Garamond" w:hAnsi="Garamond"/>
        </w:rPr>
      </w:pPr>
      <w:r w:rsidRPr="004221E3">
        <w:rPr>
          <w:rFonts w:ascii="Garamond" w:hAnsi="Garamond"/>
        </w:rPr>
        <w:t>Um diesen Zustand zu verstehen, müssen wir zunächst betrachten, wie Gesellschaften Realität deuten – und welche inneren und äußeren Kräfte diese Deutung formen.</w:t>
      </w:r>
      <w:r>
        <w:rPr>
          <w:rFonts w:ascii="Garamond" w:hAnsi="Garamond"/>
        </w:rPr>
        <w:t xml:space="preserve"> </w:t>
      </w:r>
      <w:r w:rsidRPr="00F65C0B">
        <w:rPr>
          <w:rFonts w:ascii="Garamond" w:hAnsi="Garamond"/>
        </w:rPr>
        <w:t>Bevor wir jedoch in diese Analyse einsteigen, möchte ich einen Gedanken vorwegstellen – einen persönlichen Ausgangspunkt, der erklärt, warum dieses Buch entstanden ist und aus welcher Haltung heraus es geschrieben wurde.</w:t>
      </w:r>
    </w:p>
    <w:p w14:paraId="6B8EFFCA" w14:textId="77777777" w:rsidR="009758D4" w:rsidRDefault="009758D4" w:rsidP="009758D4">
      <w:pPr>
        <w:spacing w:line="276" w:lineRule="auto"/>
        <w:rPr>
          <w:rFonts w:ascii="Garamond" w:hAnsi="Garamond"/>
        </w:rPr>
      </w:pPr>
      <w:bookmarkStart w:id="1" w:name="_Toc233001128"/>
    </w:p>
    <w:p w14:paraId="7DA248FB" w14:textId="4F397D76" w:rsidR="00820A38" w:rsidRPr="004221E3" w:rsidRDefault="00820A38" w:rsidP="009758D4">
      <w:pPr>
        <w:spacing w:line="276" w:lineRule="auto"/>
        <w:rPr>
          <w:rFonts w:ascii="Garamond" w:hAnsi="Garamond"/>
        </w:rPr>
      </w:pPr>
      <w:r w:rsidRPr="004221E3">
        <w:rPr>
          <w:rFonts w:ascii="Garamond" w:hAnsi="Garamond"/>
        </w:rPr>
        <w:t>Der Kompass des Buches</w:t>
      </w:r>
      <w:bookmarkEnd w:id="1"/>
    </w:p>
    <w:p w14:paraId="55D6D293" w14:textId="77777777" w:rsidR="00820A38" w:rsidRPr="004221E3" w:rsidRDefault="00820A38" w:rsidP="00DB2FE4">
      <w:pPr>
        <w:spacing w:line="276" w:lineRule="auto"/>
        <w:rPr>
          <w:rFonts w:ascii="Garamond" w:hAnsi="Garamond"/>
        </w:rPr>
      </w:pPr>
      <w:r w:rsidRPr="004221E3">
        <w:rPr>
          <w:rFonts w:ascii="Garamond" w:hAnsi="Garamond"/>
        </w:rPr>
        <w:t>Dieses Buch zeigt, wie politische Realität entsteht – und warum moderne Gesellschaften den klaren Blick darauf verlieren. Es beschreibt die wiederkehrenden Machtstrukturen, die Deutung formen, und fragt, wie wir aus diesen Mustern ausbrechen können, um wieder zu einem gemeinsamen Verständnis von Realität und Zusammenleben zu finden.</w:t>
      </w:r>
    </w:p>
    <w:p w14:paraId="2D5921F4" w14:textId="77777777" w:rsidR="00820A38" w:rsidRPr="004221E3" w:rsidRDefault="00820A38" w:rsidP="00DB2FE4">
      <w:pPr>
        <w:spacing w:line="276" w:lineRule="auto"/>
        <w:rPr>
          <w:rFonts w:ascii="Garamond" w:hAnsi="Garamond"/>
        </w:rPr>
      </w:pPr>
    </w:p>
    <w:p w14:paraId="4F784B3B" w14:textId="77777777" w:rsidR="00820A38" w:rsidRPr="004221E3" w:rsidRDefault="00820A38" w:rsidP="00DB2FE4">
      <w:pPr>
        <w:pStyle w:val="berschrift2"/>
        <w:spacing w:line="276" w:lineRule="auto"/>
        <w:rPr>
          <w:rFonts w:ascii="Garamond" w:hAnsi="Garamond"/>
        </w:rPr>
      </w:pPr>
      <w:bookmarkStart w:id="2" w:name="_Toc233001129"/>
      <w:r w:rsidRPr="004221E3">
        <w:rPr>
          <w:rFonts w:ascii="Garamond" w:hAnsi="Garamond"/>
        </w:rPr>
        <w:t>Ein Gedanke vorweg</w:t>
      </w:r>
      <w:bookmarkEnd w:id="2"/>
      <w:r w:rsidRPr="004221E3">
        <w:rPr>
          <w:rFonts w:ascii="Garamond" w:hAnsi="Garamond"/>
        </w:rPr>
        <w:t xml:space="preserve">  </w:t>
      </w:r>
    </w:p>
    <w:p w14:paraId="54EAFC1C" w14:textId="77777777" w:rsidR="00820A38" w:rsidRPr="004221E3" w:rsidRDefault="00820A38" w:rsidP="00DB2FE4">
      <w:pPr>
        <w:spacing w:line="276" w:lineRule="auto"/>
        <w:rPr>
          <w:rFonts w:ascii="Garamond" w:hAnsi="Garamond"/>
        </w:rPr>
      </w:pPr>
      <w:r w:rsidRPr="004221E3">
        <w:rPr>
          <w:rFonts w:ascii="Garamond" w:hAnsi="Garamond"/>
        </w:rPr>
        <w:t>Mein Leben hat mich geprägt. Nach den Modellen der Entwicklungstheorie</w:t>
      </w:r>
      <w:r w:rsidRPr="004221E3">
        <w:rPr>
          <w:rStyle w:val="Funotenzeichen"/>
          <w:rFonts w:ascii="Garamond" w:hAnsi="Garamond"/>
        </w:rPr>
        <w:footnoteReference w:id="5"/>
      </w:r>
      <w:r w:rsidRPr="004221E3">
        <w:rPr>
          <w:rFonts w:ascii="Garamond" w:hAnsi="Garamond"/>
        </w:rPr>
        <w:t xml:space="preserve"> bin ich an einem Punkt angekommen, an dem sich das, was sich über Jahrzehnte angesammelt hat, wieder nach außen wendet. Erfahrungen, Beobachtungen, Zweifel, Brüche, Höhen und Tiefen – all das sucht eine Form, die zu mir passt und die ich weitergeben kann. Vieles habe ich selbst ausprobiert, manches habe ich durch Zuhören verstanden, anderes habe ich aus eigener Prägung heraus lange abgelehnt und tue es an bestimmten Stellen bis heute. Doch gerade diese Spannungen haben mich gelehrt, wie wichtig es ist, die eigenen Überzeugungen immer wieder zu prüfen und die Welt nicht nur aus einer Perspektive zu betrachten.</w:t>
      </w:r>
    </w:p>
    <w:p w14:paraId="4DD38E26" w14:textId="77777777" w:rsidR="00820A38" w:rsidRPr="004221E3" w:rsidRDefault="00820A38" w:rsidP="00DB2FE4">
      <w:pPr>
        <w:spacing w:line="276" w:lineRule="auto"/>
        <w:rPr>
          <w:rFonts w:ascii="Garamond" w:hAnsi="Garamond"/>
        </w:rPr>
      </w:pPr>
      <w:r w:rsidRPr="004221E3">
        <w:rPr>
          <w:rFonts w:ascii="Garamond" w:hAnsi="Garamond"/>
        </w:rPr>
        <w:t xml:space="preserve">Aus dieser Haltung heraus entstand der Wunsch, die Muster sichtbar zu machen, die sich durch die Geschichte ziehen. Denn in der Geschichte lassen sich wiederkehrende Strukturen erkennen, mit denen Macht organisiert, gesichert und weitergegeben wird. Diese Muster sind offen sichtbar und ergeben sich aus den Gegebenheiten des Systems. Sie entstehen aus wirtschaftlichen Interessen, politischen Netzwerken und sozialen Schichtungen, die sich über Generationen hinweg stabilisieren. Das digitale Zeitalter hat viele Dynamiken sichtbarer gemacht und gleichzeitig neue Formen der Einflussnahme hervorgebracht. </w:t>
      </w:r>
      <w:r w:rsidRPr="00B42818">
        <w:rPr>
          <w:rFonts w:ascii="Garamond" w:hAnsi="Garamond"/>
        </w:rPr>
        <w:t>Das Internet hat Informationsräume geöffnet, manche Narrative aufgebrochen und bestimmte Machtverhältnisse sichtbarer gemacht, zugleich aber neue Formen der Beeinflussung hervorgebracht.</w:t>
      </w:r>
    </w:p>
    <w:p w14:paraId="48011907" w14:textId="77777777" w:rsidR="00820A38" w:rsidRPr="004221E3" w:rsidRDefault="00820A38" w:rsidP="00DB2FE4">
      <w:pPr>
        <w:spacing w:line="276" w:lineRule="auto"/>
        <w:rPr>
          <w:rFonts w:ascii="Garamond" w:hAnsi="Garamond"/>
        </w:rPr>
      </w:pPr>
      <w:r w:rsidRPr="004221E3">
        <w:rPr>
          <w:rFonts w:ascii="Garamond" w:hAnsi="Garamond"/>
        </w:rPr>
        <w:t>Nicht jede Kritik an Machtstrukturen ist Ausdruck von Verschwörungsdenken. Gleichzeitig können komplexe Entwicklungen vorschnell entweder als bloßer Zufall oder als Ergebnis geheimer Steuerung interpretiert werden. Machtkritische Positionen werden nicht immer ausschließlich inhaltlich diskutiert; teilweise erfolgt die Auseinandersetzung auch über Zuschreibungen und Einordnungen.</w:t>
      </w:r>
      <w:r w:rsidRPr="00B42818">
        <w:t xml:space="preserve"> </w:t>
      </w:r>
      <w:r w:rsidRPr="00B42818">
        <w:rPr>
          <w:rFonts w:ascii="Garamond" w:hAnsi="Garamond"/>
        </w:rPr>
        <w:t>Beispiele wie Edward Snowden zeigen, wie kontrovers moderne Gesellschaften mit Fragen von Transparenz, Geheimhaltung und Loyalität umgehen</w:t>
      </w:r>
      <w:r w:rsidRPr="004221E3">
        <w:rPr>
          <w:rStyle w:val="Funotenzeichen"/>
          <w:rFonts w:ascii="Garamond" w:hAnsi="Garamond"/>
        </w:rPr>
        <w:footnoteReference w:id="6"/>
      </w:r>
      <w:r w:rsidRPr="004221E3">
        <w:rPr>
          <w:rFonts w:ascii="Garamond" w:hAnsi="Garamond"/>
        </w:rPr>
        <w:t>und wie sehr moderne Gesellschaften damit ringen, Transparenz und Macht in Einklang zu bringen. Ich schreibe dieses Buch, um Zusammenhänge zu verstehen. Es geht um Aufklärung, um Mündigkeit und Emanzipation, um die Fähigkeit, über den Tellerrand zu schauen und die Muster zu erkennen, die unsere Welt prägen. Ein Weltbild, das ins Wanken gerät, kann schmerzhaft sein. Doch genau in diesem Moment entsteht Erkenntnis.</w:t>
      </w:r>
    </w:p>
    <w:p w14:paraId="6D29F77C" w14:textId="77777777" w:rsidR="00820A38" w:rsidRDefault="00820A38"/>
    <w:sectPr w:rsidR="00820A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5A8F" w14:textId="77777777" w:rsidR="00820A38" w:rsidRDefault="00820A38" w:rsidP="00820A38">
      <w:pPr>
        <w:spacing w:after="0" w:line="240" w:lineRule="auto"/>
      </w:pPr>
      <w:r>
        <w:separator/>
      </w:r>
    </w:p>
  </w:endnote>
  <w:endnote w:type="continuationSeparator" w:id="0">
    <w:p w14:paraId="6FC87A5A" w14:textId="77777777" w:rsidR="00820A38" w:rsidRDefault="00820A38" w:rsidP="0082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B4B7" w14:textId="77777777" w:rsidR="00820A38" w:rsidRDefault="00820A38" w:rsidP="00820A38">
      <w:pPr>
        <w:spacing w:after="0" w:line="240" w:lineRule="auto"/>
      </w:pPr>
      <w:r>
        <w:separator/>
      </w:r>
    </w:p>
  </w:footnote>
  <w:footnote w:type="continuationSeparator" w:id="0">
    <w:p w14:paraId="2C525EF5" w14:textId="77777777" w:rsidR="00820A38" w:rsidRDefault="00820A38" w:rsidP="00820A38">
      <w:pPr>
        <w:spacing w:after="0" w:line="240" w:lineRule="auto"/>
      </w:pPr>
      <w:r>
        <w:continuationSeparator/>
      </w:r>
    </w:p>
  </w:footnote>
  <w:footnote w:id="1">
    <w:p w14:paraId="5F903475" w14:textId="77777777" w:rsidR="00820A38" w:rsidRPr="00D800A1" w:rsidRDefault="00820A38">
      <w:pPr>
        <w:pStyle w:val="Funotentext"/>
        <w:rPr>
          <w:rFonts w:ascii="Garamond" w:hAnsi="Garamond"/>
          <w:szCs w:val="16"/>
        </w:rPr>
      </w:pPr>
      <w:r w:rsidRPr="00D800A1">
        <w:rPr>
          <w:rStyle w:val="Funotenzeichen"/>
          <w:rFonts w:ascii="Garamond" w:hAnsi="Garamond"/>
          <w:szCs w:val="16"/>
          <w:vertAlign w:val="baseline"/>
        </w:rPr>
        <w:footnoteRef/>
      </w:r>
      <w:r w:rsidRPr="00D800A1">
        <w:rPr>
          <w:rFonts w:ascii="Garamond" w:hAnsi="Garamond"/>
          <w:szCs w:val="16"/>
        </w:rPr>
        <w:t xml:space="preserve"> Festinger, Leon: A Theory of Cognitive Dissonance. Stanford University Press, 1957.</w:t>
      </w:r>
    </w:p>
  </w:footnote>
  <w:footnote w:id="2">
    <w:p w14:paraId="3A394645" w14:textId="77777777" w:rsidR="00820A38" w:rsidRPr="00D800A1" w:rsidRDefault="00820A38">
      <w:pPr>
        <w:pStyle w:val="Funotentext"/>
        <w:rPr>
          <w:rFonts w:ascii="Garamond" w:hAnsi="Garamond"/>
          <w:szCs w:val="16"/>
        </w:rPr>
      </w:pPr>
      <w:r w:rsidRPr="00D800A1">
        <w:rPr>
          <w:rStyle w:val="Funotenzeichen"/>
          <w:rFonts w:ascii="Garamond" w:hAnsi="Garamond"/>
          <w:szCs w:val="16"/>
          <w:vertAlign w:val="baseline"/>
        </w:rPr>
        <w:footnoteRef/>
      </w:r>
      <w:r w:rsidRPr="00D800A1">
        <w:rPr>
          <w:rFonts w:ascii="Garamond" w:hAnsi="Garamond"/>
          <w:szCs w:val="16"/>
        </w:rPr>
        <w:t xml:space="preserve"> Nickerson, Raymond S.: “Confirmation Bias: A Ubiquitous Phenomenon in Many Guises.” Review of General Psychology, 1998.</w:t>
      </w:r>
    </w:p>
  </w:footnote>
  <w:footnote w:id="3">
    <w:p w14:paraId="42498FC5" w14:textId="77777777" w:rsidR="00820A38" w:rsidRPr="00D800A1" w:rsidRDefault="00820A38">
      <w:pPr>
        <w:pStyle w:val="Funotentext"/>
        <w:rPr>
          <w:rFonts w:ascii="Garamond" w:hAnsi="Garamond"/>
          <w:szCs w:val="16"/>
        </w:rPr>
      </w:pPr>
      <w:r w:rsidRPr="00D800A1">
        <w:rPr>
          <w:rStyle w:val="Funotenzeichen"/>
          <w:rFonts w:ascii="Garamond" w:hAnsi="Garamond"/>
          <w:szCs w:val="16"/>
          <w:vertAlign w:val="baseline"/>
        </w:rPr>
        <w:footnoteRef/>
      </w:r>
      <w:r w:rsidRPr="00D800A1">
        <w:rPr>
          <w:rFonts w:ascii="Garamond" w:hAnsi="Garamond"/>
          <w:szCs w:val="16"/>
        </w:rPr>
        <w:t xml:space="preserve"> Tajfel, Henri / Turner, John C.: An Integrative Theory of Intergroup Conflict. In: The Social Psychology of Intergroup Relations, 1979.</w:t>
      </w:r>
    </w:p>
  </w:footnote>
  <w:footnote w:id="4">
    <w:p w14:paraId="1B1D5614" w14:textId="77777777" w:rsidR="00820A38" w:rsidRPr="00D800A1" w:rsidRDefault="00820A38">
      <w:pPr>
        <w:pStyle w:val="Funotentext"/>
        <w:rPr>
          <w:rFonts w:ascii="Garamond" w:hAnsi="Garamond"/>
          <w:szCs w:val="16"/>
        </w:rPr>
      </w:pPr>
      <w:r w:rsidRPr="00D800A1">
        <w:rPr>
          <w:rStyle w:val="Funotenzeichen"/>
          <w:rFonts w:ascii="Garamond" w:hAnsi="Garamond"/>
          <w:szCs w:val="16"/>
          <w:vertAlign w:val="baseline"/>
        </w:rPr>
        <w:footnoteRef/>
      </w:r>
      <w:r w:rsidRPr="00D800A1">
        <w:rPr>
          <w:rFonts w:ascii="Garamond" w:hAnsi="Garamond"/>
          <w:szCs w:val="16"/>
        </w:rPr>
        <w:t xml:space="preserve"> Freud, Sigmund: Projektion als Abwehrmechanismus. In: Neue Folge der Vorlesungen zur Einführung in die Psychoanalyse, 1933.</w:t>
      </w:r>
    </w:p>
  </w:footnote>
  <w:footnote w:id="5">
    <w:p w14:paraId="4F7C0B1E" w14:textId="77777777" w:rsidR="00820A38" w:rsidRPr="00D800A1" w:rsidRDefault="00820A38">
      <w:pPr>
        <w:pStyle w:val="Funotentext"/>
        <w:rPr>
          <w:rFonts w:ascii="Garamond" w:hAnsi="Garamond"/>
          <w:szCs w:val="16"/>
        </w:rPr>
      </w:pPr>
      <w:r w:rsidRPr="00D800A1">
        <w:rPr>
          <w:rStyle w:val="Funotenzeichen"/>
          <w:rFonts w:ascii="Garamond" w:hAnsi="Garamond"/>
          <w:szCs w:val="16"/>
          <w:vertAlign w:val="baseline"/>
        </w:rPr>
        <w:footnoteRef/>
      </w:r>
      <w:r w:rsidRPr="00D800A1">
        <w:rPr>
          <w:rFonts w:ascii="Garamond" w:hAnsi="Garamond"/>
          <w:szCs w:val="16"/>
        </w:rPr>
        <w:t xml:space="preserve"> Erikson, Erik H.: Identity and the Life Cycle. W. W. Norton, 1959.</w:t>
      </w:r>
    </w:p>
  </w:footnote>
  <w:footnote w:id="6">
    <w:p w14:paraId="64C34D2C" w14:textId="77777777" w:rsidR="00820A38" w:rsidRPr="00D800A1" w:rsidRDefault="00820A38">
      <w:pPr>
        <w:pStyle w:val="Funotentext"/>
        <w:rPr>
          <w:rFonts w:ascii="Garamond" w:hAnsi="Garamond"/>
          <w:szCs w:val="16"/>
        </w:rPr>
      </w:pPr>
      <w:r w:rsidRPr="00D800A1">
        <w:rPr>
          <w:rStyle w:val="Funotenzeichen"/>
          <w:rFonts w:ascii="Garamond" w:hAnsi="Garamond"/>
          <w:szCs w:val="16"/>
          <w:vertAlign w:val="baseline"/>
        </w:rPr>
        <w:footnoteRef/>
      </w:r>
      <w:r w:rsidRPr="00D800A1">
        <w:rPr>
          <w:rFonts w:ascii="Garamond" w:hAnsi="Garamond"/>
          <w:szCs w:val="16"/>
        </w:rPr>
        <w:t xml:space="preserve"> Snowden, Edward: NSA</w:t>
      </w:r>
      <w:r w:rsidRPr="00D800A1">
        <w:rPr>
          <w:rFonts w:ascii="Times New Roman" w:hAnsi="Times New Roman" w:cs="Times New Roman"/>
          <w:szCs w:val="16"/>
        </w:rPr>
        <w:t>‑</w:t>
      </w:r>
      <w:r w:rsidRPr="00D800A1">
        <w:rPr>
          <w:rFonts w:ascii="Garamond" w:hAnsi="Garamond"/>
          <w:szCs w:val="16"/>
        </w:rPr>
        <w:t>Enth</w:t>
      </w:r>
      <w:r w:rsidRPr="00D800A1">
        <w:rPr>
          <w:rFonts w:ascii="Garamond" w:hAnsi="Garamond" w:cs="Aptos"/>
          <w:szCs w:val="16"/>
        </w:rPr>
        <w:t>ü</w:t>
      </w:r>
      <w:r w:rsidRPr="00D800A1">
        <w:rPr>
          <w:rFonts w:ascii="Garamond" w:hAnsi="Garamond"/>
          <w:szCs w:val="16"/>
        </w:rPr>
        <w:t>llungen 2013 (The Guardian, The Washington Post).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38"/>
    <w:rsid w:val="001D7D0D"/>
    <w:rsid w:val="006412DA"/>
    <w:rsid w:val="00742B3D"/>
    <w:rsid w:val="00820A38"/>
    <w:rsid w:val="00975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BB4EC69"/>
  <w15:chartTrackingRefBased/>
  <w15:docId w15:val="{9B5AEB33-FFFE-FA48-8146-CCE9F5F3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0A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0A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0A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0A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0A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0A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0A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0A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0A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0A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0A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0A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0A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0A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0A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0A38"/>
    <w:rPr>
      <w:rFonts w:eastAsiaTheme="majorEastAsia" w:cstheme="majorBidi"/>
      <w:color w:val="272727" w:themeColor="text1" w:themeTint="D8"/>
    </w:rPr>
  </w:style>
  <w:style w:type="paragraph" w:styleId="Titel">
    <w:name w:val="Title"/>
    <w:basedOn w:val="Standard"/>
    <w:next w:val="Standard"/>
    <w:link w:val="TitelZchn"/>
    <w:uiPriority w:val="10"/>
    <w:qFormat/>
    <w:rsid w:val="0082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0A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0A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0A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0A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0A38"/>
    <w:rPr>
      <w:i/>
      <w:iCs/>
      <w:color w:val="404040" w:themeColor="text1" w:themeTint="BF"/>
    </w:rPr>
  </w:style>
  <w:style w:type="paragraph" w:styleId="Listenabsatz">
    <w:name w:val="List Paragraph"/>
    <w:basedOn w:val="Standard"/>
    <w:uiPriority w:val="34"/>
    <w:qFormat/>
    <w:rsid w:val="00820A38"/>
    <w:pPr>
      <w:ind w:left="720"/>
      <w:contextualSpacing/>
    </w:pPr>
  </w:style>
  <w:style w:type="character" w:styleId="IntensiveHervorhebung">
    <w:name w:val="Intense Emphasis"/>
    <w:basedOn w:val="Absatz-Standardschriftart"/>
    <w:uiPriority w:val="21"/>
    <w:qFormat/>
    <w:rsid w:val="00820A38"/>
    <w:rPr>
      <w:i/>
      <w:iCs/>
      <w:color w:val="0F4761" w:themeColor="accent1" w:themeShade="BF"/>
    </w:rPr>
  </w:style>
  <w:style w:type="paragraph" w:styleId="IntensivesZitat">
    <w:name w:val="Intense Quote"/>
    <w:basedOn w:val="Standard"/>
    <w:next w:val="Standard"/>
    <w:link w:val="IntensivesZitatZchn"/>
    <w:uiPriority w:val="30"/>
    <w:qFormat/>
    <w:rsid w:val="0082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0A38"/>
    <w:rPr>
      <w:i/>
      <w:iCs/>
      <w:color w:val="0F4761" w:themeColor="accent1" w:themeShade="BF"/>
    </w:rPr>
  </w:style>
  <w:style w:type="character" w:styleId="IntensiverVerweis">
    <w:name w:val="Intense Reference"/>
    <w:basedOn w:val="Absatz-Standardschriftart"/>
    <w:uiPriority w:val="32"/>
    <w:qFormat/>
    <w:rsid w:val="00820A38"/>
    <w:rPr>
      <w:b/>
      <w:bCs/>
      <w:smallCaps/>
      <w:color w:val="0F4761" w:themeColor="accent1" w:themeShade="BF"/>
      <w:spacing w:val="5"/>
    </w:rPr>
  </w:style>
  <w:style w:type="paragraph" w:styleId="Funotentext">
    <w:name w:val="footnote text"/>
    <w:basedOn w:val="Standard"/>
    <w:link w:val="FunotentextZchn"/>
    <w:uiPriority w:val="99"/>
    <w:unhideWhenUsed/>
    <w:rsid w:val="00820A38"/>
    <w:pPr>
      <w:spacing w:after="0" w:line="240" w:lineRule="auto"/>
    </w:pPr>
    <w:rPr>
      <w:sz w:val="16"/>
      <w:szCs w:val="20"/>
    </w:rPr>
  </w:style>
  <w:style w:type="character" w:customStyle="1" w:styleId="FunotentextZchn">
    <w:name w:val="Fußnotentext Zchn"/>
    <w:basedOn w:val="Absatz-Standardschriftart"/>
    <w:link w:val="Funotentext"/>
    <w:uiPriority w:val="99"/>
    <w:rsid w:val="00820A38"/>
    <w:rPr>
      <w:sz w:val="16"/>
      <w:szCs w:val="20"/>
    </w:rPr>
  </w:style>
  <w:style w:type="character" w:styleId="Funotenzeichen">
    <w:name w:val="footnote reference"/>
    <w:basedOn w:val="Absatz-Standardschriftart"/>
    <w:uiPriority w:val="99"/>
    <w:semiHidden/>
    <w:unhideWhenUsed/>
    <w:rsid w:val="00820A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1183</Words>
  <Characters>7454</Characters>
  <Application>Microsoft Office Word</Application>
  <DocSecurity>0</DocSecurity>
  <Lines>62</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Kappelmayer</dc:creator>
  <cp:keywords/>
  <dc:description/>
  <cp:lastModifiedBy>Holger Kappelmayer</cp:lastModifiedBy>
  <cp:revision>2</cp:revision>
  <dcterms:created xsi:type="dcterms:W3CDTF">2026-06-22T06:43:00Z</dcterms:created>
  <dcterms:modified xsi:type="dcterms:W3CDTF">2026-06-22T06:43:00Z</dcterms:modified>
</cp:coreProperties>
</file>